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Hudba pomáhá: tentokrát ze mlýna formou živého přenosu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Ačkoliv současná situace znemožnila organizátorům festivalu Hudba pomáhá připravit tradiční šňůru koncertů, o čtrnáctý ročník oblíbené východočeské benefiční akce lidé rozhodně nepřijdou. Letos si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však budou moci festival vychutnat prostřednictvím živého přenosu. V 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obotu 19. prosince v 19 hodin je totiž čeká večerní pořad pojmenovaný „Hudba pomáhá - k pečení“, jehož výtěžek podpoří speciální školy v Litomyšli, Poličce a Vysokém Mýtě, tedy v místech, kde festival obvykle probíhá.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„Rok co rok lidé museli zanechat pečení nebo jiných vánočních příprav, obléci se do svátečního a vyrazit do divadla. Letos ale klidně mohou zůstat u sporáku. Tentokrát zveme na festival, který bude mít podobu večerního pořadu. Místo vstupenky si tak lidé mohou pořídit zástěru nebo víno z naší speciální kolekce a za doprovodu hudebníků i dalších zajímavých osobností mohou v klidu pokračovat v pečení vanilkových rohlíčků,“ říká ředitel festivalu Karel Telecký.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právě motiv rohlíčků se prolíná celou letošní akcí. Na jeden den si totiž Hudba vytvoří svou vlastní domácnost. „V obci Horky jsme našli nádherný mlýn s modrými kachlovými kamny,“ vypráví Karel Telecký a nadšeně dodává: „Jsou k pečení jako stvořená!“ Do domácnosti pak zavítá třeba festivalová kapela Parkoviště pro velbloudy se smyčcovým triem, ale také realizační tým včetně maminek, které se postarají o provonění mlýna vanilkovými rohlíčky. Speciálním hostem, který se v pořadu objeví, pak bude oblíbený český herec Jaroslav Dušek.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Pořadatelé tedy zvou na živé vysílání, které si diváci mohou naladit prostřednictvím Mall.tv, ale také na webu, facebookovém profilu či Youtube kanálu Hudba pomáhá. „Muziku a vyprávění hostů se pokusíme skloubit zhruba půl na půl. Hudba bude pochopitelně vánoční a povídat si budeme třeba o tom, jaké paralely prožívá v tuhle chvíli zdravý dospělý člověk a náctiletý vozíčkář. Spoustu věcí se totiž od sebe můžeme navzájem naučit,“ poodhaluje scénář režisér Dominik Kalivoda.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Celým večerem budou diváky provázet moderátoři Českého rozhlasu Pardubice. „Díky sociálním sítím a vysílání Českého rozhlasu se lidé budou moci stát součástí naší domácnosti už před začátkem živého přenosu. Naše maminky, které na festivalu běžně zajišťují catering, mají totiž opravdu skvělé cukroví a rády se s ostatními podělí o ty nejlepší recepty,“ popisuje plány pořadatelů Karel Telecký.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Pečení a rohlíčky se letos odrazí i ve způsobu přispívání na benefici, jejíž výtěžek následně poputuje na konto speciálních škol v Litomyšli, Poličce a Vysokém Mýtě. Organizátoři festivalu Hudba pomáhá pro svůj speciální ročník totiž zřídili nový eshop, kde se objeví třeba limitovaná edice rohlíčkového příslušenství k pečení, kam patří zástěry, ponožky, ale i skvělé moravské víno. Na stránkách festivalu je zároveň uvedený transparentní účet, kam je možné zaslat jakýkoliv finanční příspěvek.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Informační centra v Litomyšli, Poličce a Vysokém Mýtě, která obvykle prodávají vstupenky na jednotlivé koncerty a doprovodné akce, pak budou festivalové předměty nabízet ve svých kamenných prodejnách, a i když bude celý přenos volně přístupný, přispět je možné také zakoupením symbolické vstupenky. Všechny možnosti, jak pořad sledovat, jak přispět na dobročinnost a jak upéct skvělé vanilkové rohlíčky, se zároveň objeví na webu</w:t>
      </w:r>
      <w:hyperlink r:id="rId6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www.hudbapomaha.cz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Kels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tabs>
        <w:tab w:val="center" w:pos="4536"/>
        <w:tab w:val="right" w:pos="9072"/>
      </w:tabs>
      <w:spacing w:line="240" w:lineRule="auto"/>
      <w:ind w:firstLine="1418"/>
      <w:rPr>
        <w:rFonts w:ascii="Kelson Sans" w:cs="Kelson Sans" w:eastAsia="Kelson Sans" w:hAnsi="Kelson Sans"/>
        <w:b w:val="1"/>
        <w:sz w:val="14"/>
        <w:szCs w:val="14"/>
      </w:rPr>
    </w:pPr>
    <w:r w:rsidDel="00000000" w:rsidR="00000000" w:rsidRPr="00000000">
      <w:rPr>
        <w:rFonts w:ascii="Kelson Sans" w:cs="Kelson Sans" w:eastAsia="Kelson Sans" w:hAnsi="Kelson Sans"/>
        <w:b w:val="1"/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0A">
    <w:pPr>
      <w:tabs>
        <w:tab w:val="center" w:pos="4536"/>
        <w:tab w:val="right" w:pos="9072"/>
      </w:tabs>
      <w:spacing w:line="240" w:lineRule="auto"/>
      <w:ind w:firstLine="1418"/>
      <w:rPr>
        <w:rFonts w:ascii="Kelson Sans" w:cs="Kelson Sans" w:eastAsia="Kelson Sans" w:hAnsi="Kelson Sans"/>
        <w:b w:val="1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42675</wp:posOffset>
          </wp:positionV>
          <wp:extent cx="949960" cy="9429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9960" cy="942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tabs>
        <w:tab w:val="center" w:pos="4536"/>
        <w:tab w:val="right" w:pos="9072"/>
      </w:tabs>
      <w:spacing w:line="240" w:lineRule="auto"/>
      <w:ind w:firstLine="1418"/>
      <w:rPr>
        <w:rFonts w:ascii="Kelson Sans" w:cs="Kelson Sans" w:eastAsia="Kelson Sans" w:hAnsi="Kelson Sans"/>
        <w:b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tabs>
        <w:tab w:val="center" w:pos="4536"/>
        <w:tab w:val="right" w:pos="9072"/>
      </w:tabs>
      <w:spacing w:line="240" w:lineRule="auto"/>
      <w:ind w:firstLine="1418"/>
      <w:rPr>
        <w:rFonts w:ascii="Kelson Sans" w:cs="Kelson Sans" w:eastAsia="Kelson Sans" w:hAnsi="Kelson Sans"/>
        <w:b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tabs>
        <w:tab w:val="center" w:pos="4536"/>
        <w:tab w:val="right" w:pos="9072"/>
      </w:tabs>
      <w:spacing w:line="240" w:lineRule="auto"/>
      <w:ind w:firstLine="1418"/>
      <w:rPr>
        <w:rFonts w:ascii="Kelson Sans" w:cs="Kelson Sans" w:eastAsia="Kelson Sans" w:hAnsi="Kelson Sans"/>
        <w:b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tabs>
        <w:tab w:val="center" w:pos="4536"/>
        <w:tab w:val="right" w:pos="9072"/>
      </w:tabs>
      <w:spacing w:line="240" w:lineRule="auto"/>
      <w:ind w:firstLine="1418"/>
      <w:rPr>
        <w:rFonts w:ascii="Kelson Sans" w:cs="Kelson Sans" w:eastAsia="Kelson Sans" w:hAnsi="Kelson Sans"/>
        <w:b w:val="1"/>
        <w:sz w:val="14"/>
        <w:szCs w:val="14"/>
      </w:rPr>
    </w:pPr>
    <w:r w:rsidDel="00000000" w:rsidR="00000000" w:rsidRPr="00000000">
      <w:rPr>
        <w:rFonts w:ascii="Kelson Sans" w:cs="Kelson Sans" w:eastAsia="Kelson Sans" w:hAnsi="Kelson Sans"/>
        <w:b w:val="1"/>
        <w:sz w:val="14"/>
        <w:szCs w:val="14"/>
        <w:rtl w:val="0"/>
      </w:rPr>
      <w:t xml:space="preserve">         Barbora Košňarová</w:t>
    </w:r>
    <w:r w:rsidDel="00000000" w:rsidR="00000000" w:rsidRPr="00000000">
      <w:rPr>
        <w:rFonts w:ascii="Kelson Sans" w:cs="Kelson Sans" w:eastAsia="Kelson Sans" w:hAnsi="Kelson Sans"/>
        <w:b w:val="1"/>
        <w:sz w:val="18"/>
        <w:szCs w:val="18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pos="4536"/>
        <w:tab w:val="right" w:pos="9072"/>
      </w:tabs>
      <w:spacing w:line="240" w:lineRule="auto"/>
      <w:ind w:firstLine="1418"/>
      <w:rPr>
        <w:rFonts w:ascii="Kelson Sans" w:cs="Kelson Sans" w:eastAsia="Kelson Sans" w:hAnsi="Kelson Sans"/>
        <w:sz w:val="14"/>
        <w:szCs w:val="14"/>
      </w:rPr>
    </w:pPr>
    <w:r w:rsidDel="00000000" w:rsidR="00000000" w:rsidRPr="00000000">
      <w:rPr>
        <w:rFonts w:ascii="Kelson Sans" w:cs="Kelson Sans" w:eastAsia="Kelson Sans" w:hAnsi="Kelson Sans"/>
        <w:b w:val="1"/>
        <w:sz w:val="14"/>
        <w:szCs w:val="14"/>
        <w:rtl w:val="0"/>
      </w:rPr>
      <w:t xml:space="preserve">        </w:t>
    </w:r>
    <w:r w:rsidDel="00000000" w:rsidR="00000000" w:rsidRPr="00000000">
      <w:rPr>
        <w:rFonts w:ascii="Kelson Sans" w:cs="Kelson Sans" w:eastAsia="Kelson Sans" w:hAnsi="Kelson Sans"/>
        <w:sz w:val="14"/>
        <w:szCs w:val="14"/>
        <w:rtl w:val="0"/>
      </w:rPr>
      <w:t xml:space="preserve">vedoucí komunikace, tisková mluvčí</w:t>
    </w:r>
  </w:p>
  <w:p w:rsidR="00000000" w:rsidDel="00000000" w:rsidP="00000000" w:rsidRDefault="00000000" w:rsidRPr="00000000" w14:paraId="00000010">
    <w:pPr>
      <w:tabs>
        <w:tab w:val="left" w:pos="1560"/>
        <w:tab w:val="right" w:pos="8931"/>
      </w:tabs>
      <w:spacing w:line="240" w:lineRule="auto"/>
      <w:ind w:firstLine="1418"/>
      <w:rPr>
        <w:rFonts w:ascii="Kelson Sans" w:cs="Kelson Sans" w:eastAsia="Kelson Sans" w:hAnsi="Kelson Sans"/>
        <w:sz w:val="14"/>
        <w:szCs w:val="14"/>
      </w:rPr>
    </w:pPr>
    <w:r w:rsidDel="00000000" w:rsidR="00000000" w:rsidRPr="00000000">
      <w:rPr>
        <w:rFonts w:ascii="Kelson Sans" w:cs="Kelson Sans" w:eastAsia="Kelson Sans" w:hAnsi="Kelson Sans"/>
        <w:sz w:val="14"/>
        <w:szCs w:val="14"/>
        <w:rtl w:val="0"/>
      </w:rPr>
      <w:t xml:space="preserve">      +420</w:t>
    </w:r>
    <w:r w:rsidDel="00000000" w:rsidR="00000000" w:rsidRPr="00000000">
      <w:rPr>
        <w:rFonts w:ascii="Courier New" w:cs="Courier New" w:eastAsia="Courier New" w:hAnsi="Courier New"/>
        <w:sz w:val="14"/>
        <w:szCs w:val="14"/>
        <w:rtl w:val="0"/>
      </w:rPr>
      <w:t xml:space="preserve"> </w:t>
    </w:r>
    <w:r w:rsidDel="00000000" w:rsidR="00000000" w:rsidRPr="00000000">
      <w:rPr>
        <w:rFonts w:ascii="Kelson Sans" w:cs="Kelson Sans" w:eastAsia="Kelson Sans" w:hAnsi="Kelson Sans"/>
        <w:sz w:val="14"/>
        <w:szCs w:val="14"/>
        <w:rtl w:val="0"/>
      </w:rPr>
      <w:t xml:space="preserve">739 429 727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4958080</wp:posOffset>
          </wp:positionH>
          <wp:positionV relativeFrom="paragraph">
            <wp:posOffset>73660</wp:posOffset>
          </wp:positionV>
          <wp:extent cx="800100" cy="247650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247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tabs>
        <w:tab w:val="left" w:pos="1560"/>
      </w:tabs>
      <w:spacing w:line="240" w:lineRule="auto"/>
      <w:ind w:firstLine="1418"/>
      <w:rPr>
        <w:rFonts w:ascii="Kelson Sans" w:cs="Kelson Sans" w:eastAsia="Kelson Sans" w:hAnsi="Kelson Sans"/>
        <w:sz w:val="14"/>
        <w:szCs w:val="14"/>
      </w:rPr>
    </w:pPr>
    <w:r w:rsidDel="00000000" w:rsidR="00000000" w:rsidRPr="00000000">
      <w:rPr>
        <w:rFonts w:ascii="Kelson Sans" w:cs="Kelson Sans" w:eastAsia="Kelson Sans" w:hAnsi="Kelson Sans"/>
        <w:sz w:val="14"/>
        <w:szCs w:val="14"/>
        <w:rtl w:val="0"/>
      </w:rPr>
      <w:t xml:space="preserve">    barbora.kosnarova@hudbapomaha.cz</w:t>
    </w:r>
  </w:p>
  <w:p w:rsidR="00000000" w:rsidDel="00000000" w:rsidP="00000000" w:rsidRDefault="00000000" w:rsidRPr="00000000" w14:paraId="00000012">
    <w:pPr>
      <w:tabs>
        <w:tab w:val="left" w:pos="1560"/>
      </w:tabs>
      <w:spacing w:line="240" w:lineRule="auto"/>
      <w:ind w:firstLine="1418"/>
      <w:rPr>
        <w:rFonts w:ascii="Kelson Sans" w:cs="Kelson Sans" w:eastAsia="Kelson Sans" w:hAnsi="Kelson Sans"/>
        <w:b w:val="1"/>
        <w:sz w:val="12"/>
        <w:szCs w:val="12"/>
      </w:rPr>
    </w:pPr>
    <w:r w:rsidDel="00000000" w:rsidR="00000000" w:rsidRPr="00000000">
      <w:rPr>
        <w:rFonts w:ascii="Kelson Sans" w:cs="Kelson Sans" w:eastAsia="Kelson Sans" w:hAnsi="Kelson Sans"/>
        <w:sz w:val="14"/>
        <w:szCs w:val="14"/>
        <w:rtl w:val="0"/>
      </w:rPr>
      <w:t xml:space="preserve">  www.hudbapomaha.cz</w:t>
    </w:r>
    <w:r w:rsidDel="00000000" w:rsidR="00000000" w:rsidRPr="00000000">
      <w:rPr>
        <w:rFonts w:ascii="Kelson Sans" w:cs="Kelson Sans" w:eastAsia="Kelson Sans" w:hAnsi="Kelson Sans"/>
        <w:b w:val="1"/>
        <w:sz w:val="12"/>
        <w:szCs w:val="12"/>
        <w:rtl w:val="0"/>
      </w:rPr>
      <w:t xml:space="preserve"> </w:t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hudbapomaha.cz/" TargetMode="External"/><Relationship Id="rId7" Type="http://schemas.openxmlformats.org/officeDocument/2006/relationships/hyperlink" Target="http://www.hudbapomaha.cz/" TargetMode="Externa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