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5B" w:rsidRDefault="00D20E5B" w:rsidP="00D20E5B">
      <w:pPr>
        <w:jc w:val="both"/>
        <w:rPr>
          <w:b/>
          <w:bCs/>
          <w:u w:val="single"/>
        </w:rPr>
      </w:pPr>
      <w:r>
        <w:rPr>
          <w:b/>
          <w:bCs/>
          <w:u w:val="single"/>
        </w:rPr>
        <w:t xml:space="preserve">Celkem 615 kusů nebezpečného infekčního materiálu po narkomanech našli po celé republice strážníci </w:t>
      </w:r>
      <w:proofErr w:type="gramStart"/>
      <w:r>
        <w:rPr>
          <w:b/>
          <w:bCs/>
          <w:u w:val="single"/>
        </w:rPr>
        <w:t>ze</w:t>
      </w:r>
      <w:proofErr w:type="gramEnd"/>
      <w:r>
        <w:rPr>
          <w:b/>
          <w:bCs/>
          <w:u w:val="single"/>
        </w:rPr>
        <w:t xml:space="preserve"> 32 měst</w:t>
      </w:r>
    </w:p>
    <w:p w:rsidR="00D20E5B" w:rsidRDefault="00D20E5B" w:rsidP="00D20E5B">
      <w:pPr>
        <w:jc w:val="both"/>
        <w:rPr>
          <w:b/>
          <w:bCs/>
        </w:rPr>
      </w:pPr>
    </w:p>
    <w:p w:rsidR="00D20E5B" w:rsidRDefault="00D20E5B" w:rsidP="00D20E5B">
      <w:pPr>
        <w:jc w:val="both"/>
      </w:pPr>
      <w:r>
        <w:rPr>
          <w:b/>
          <w:bCs/>
        </w:rPr>
        <w:t xml:space="preserve">Strážníci </w:t>
      </w:r>
      <w:proofErr w:type="gramStart"/>
      <w:r>
        <w:rPr>
          <w:b/>
          <w:bCs/>
        </w:rPr>
        <w:t>ze</w:t>
      </w:r>
      <w:proofErr w:type="gramEnd"/>
      <w:r>
        <w:rPr>
          <w:b/>
          <w:bCs/>
        </w:rPr>
        <w:t> 32 měst spojili své síly a pokusili se vyčistit svá města od infekčního materiálu a tím předejít možnému nebezpečí, kterému jsou vystaveny hlavně děti, ale také domácí zvířata. Zároveň se snažili rozšířit povědomí o správném chování při nálezu injekční stříkačky. Do preventivní akce se zapojilo přes 420 strážníků, včetně asistentů prevence kriminality.</w:t>
      </w:r>
    </w:p>
    <w:p w:rsidR="00D20E5B" w:rsidRDefault="00D20E5B" w:rsidP="00D20E5B">
      <w:pPr>
        <w:jc w:val="both"/>
      </w:pPr>
    </w:p>
    <w:p w:rsidR="00D20E5B" w:rsidRDefault="00D20E5B" w:rsidP="00D20E5B">
      <w:pPr>
        <w:jc w:val="both"/>
      </w:pPr>
      <w:r>
        <w:t xml:space="preserve">Vedle Prahy svá města uklízela také </w:t>
      </w:r>
      <w:r>
        <w:rPr>
          <w:color w:val="000000"/>
        </w:rPr>
        <w:t xml:space="preserve">Břeclav, České Budějovice, Český Těšín, Dobruška, Havířov, Hodonín, Cheb, Chodov, Jihlava, Karlovy Vary, Karviná, Kladno, Kroměříž, Liberec, Mladá Boleslav, Nejdek, Nové Město nad Metují, Opava, Ostrava, Ostrov, Pardubice, Plzeň, Přelouč, Rakovník, Sokolov, Tábor, Teplice, Trutnov, Ústí nad Labem, Veselí nad Moravou, Zlín. </w:t>
      </w:r>
    </w:p>
    <w:p w:rsidR="00D20E5B" w:rsidRDefault="00D20E5B" w:rsidP="00D20E5B">
      <w:pPr>
        <w:jc w:val="both"/>
      </w:pPr>
    </w:p>
    <w:p w:rsidR="00D20E5B" w:rsidRDefault="00D20E5B" w:rsidP="00D20E5B">
      <w:pPr>
        <w:jc w:val="both"/>
      </w:pPr>
    </w:p>
    <w:p w:rsidR="00D20E5B" w:rsidRDefault="00D20E5B" w:rsidP="00D20E5B">
      <w:pPr>
        <w:jc w:val="both"/>
        <w:rPr>
          <w:b/>
          <w:bCs/>
        </w:rPr>
      </w:pPr>
      <w:r>
        <w:rPr>
          <w:b/>
          <w:bCs/>
        </w:rPr>
        <w:t xml:space="preserve">Jak to s nálezem infekčního materiálu po narkomanech za jeden jediný den vypadá v jednotlivých městech? </w:t>
      </w:r>
    </w:p>
    <w:tbl>
      <w:tblPr>
        <w:tblW w:w="0" w:type="auto"/>
        <w:tblCellMar>
          <w:left w:w="0" w:type="dxa"/>
          <w:right w:w="0" w:type="dxa"/>
        </w:tblCellMar>
        <w:tblLook w:val="04A0" w:firstRow="1" w:lastRow="0" w:firstColumn="1" w:lastColumn="0" w:noHBand="0" w:noVBand="1"/>
      </w:tblPr>
      <w:tblGrid>
        <w:gridCol w:w="3335"/>
        <w:gridCol w:w="1545"/>
        <w:gridCol w:w="1486"/>
        <w:gridCol w:w="1702"/>
        <w:gridCol w:w="1064"/>
      </w:tblGrid>
      <w:tr w:rsidR="00D20E5B" w:rsidTr="00D20E5B">
        <w:trPr>
          <w:trHeight w:val="576"/>
        </w:trPr>
        <w:tc>
          <w:tcPr>
            <w:tcW w:w="3374" w:type="dxa"/>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 w:val="28"/>
                <w:szCs w:val="28"/>
              </w:rPr>
            </w:pPr>
            <w:r>
              <w:rPr>
                <w:color w:val="000000"/>
                <w:sz w:val="28"/>
                <w:szCs w:val="28"/>
              </w:rPr>
              <w:t>Město</w:t>
            </w:r>
          </w:p>
        </w:tc>
        <w:tc>
          <w:tcPr>
            <w:tcW w:w="1575" w:type="dxa"/>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Rok 2015</w:t>
            </w:r>
          </w:p>
        </w:tc>
        <w:tc>
          <w:tcPr>
            <w:tcW w:w="1514" w:type="dxa"/>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Rok 2016</w:t>
            </w:r>
          </w:p>
        </w:tc>
        <w:tc>
          <w:tcPr>
            <w:tcW w:w="1740" w:type="dxa"/>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Akce jehla 18.4.</w:t>
            </w:r>
          </w:p>
        </w:tc>
        <w:tc>
          <w:tcPr>
            <w:tcW w:w="1080" w:type="dxa"/>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Cs w:val="24"/>
              </w:rPr>
            </w:pPr>
            <w:r>
              <w:rPr>
                <w:color w:val="000000"/>
              </w:rPr>
              <w:t>Počet str.</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Břeclav</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41</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28</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9</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10</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České  Budějovice</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605</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896</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25</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27</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Český Těšín</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22</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8</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Dobruška</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2</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4</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Havířov</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9</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10</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Hodonín</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4</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10</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Cheb</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20</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7</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Chodov</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1</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3</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Jihlava</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2</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6</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Karlovy Vary</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15</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9</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2</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8</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Karviná</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179</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367</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19</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14</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Kladno</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19</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15</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Kroměříž</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29</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12</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8</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8</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Liberec</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16</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2</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Mladá Boleslav</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641</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735</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42</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23</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Nejdek</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32</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48</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0</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4</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Nové Město nad Metují</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10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8</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0</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9</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Opava</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386</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218</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9</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3</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Ostrava</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3 491</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2 724</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137</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30</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Ostrov</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3</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6</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Pardubice</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180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350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7</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14</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Plzeň</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15</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30</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lastRenderedPageBreak/>
              <w:t>Praha</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16 522</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12 617</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155</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100</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Pr="00E57A83" w:rsidRDefault="00D20E5B">
            <w:pPr>
              <w:autoSpaceDE w:val="0"/>
              <w:autoSpaceDN w:val="0"/>
              <w:rPr>
                <w:rFonts w:ascii="Calibri" w:hAnsi="Calibri"/>
                <w:color w:val="000000"/>
                <w:sz w:val="28"/>
                <w:szCs w:val="28"/>
                <w:highlight w:val="yellow"/>
              </w:rPr>
            </w:pPr>
            <w:r w:rsidRPr="00E57A83">
              <w:rPr>
                <w:color w:val="000000"/>
                <w:sz w:val="28"/>
                <w:szCs w:val="28"/>
                <w:highlight w:val="yellow"/>
              </w:rPr>
              <w:t>Přelouč</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Pr="00E57A83" w:rsidRDefault="00E57A83">
            <w:pPr>
              <w:autoSpaceDE w:val="0"/>
              <w:autoSpaceDN w:val="0"/>
              <w:jc w:val="center"/>
              <w:rPr>
                <w:rFonts w:ascii="Calibri" w:hAnsi="Calibri"/>
                <w:color w:val="000000"/>
                <w:szCs w:val="24"/>
                <w:highlight w:val="yellow"/>
              </w:rPr>
            </w:pPr>
            <w:r>
              <w:rPr>
                <w:color w:val="000000"/>
                <w:highlight w:val="yellow"/>
              </w:rPr>
              <w:t>-</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Pr="00E57A83" w:rsidRDefault="00E57A83">
            <w:pPr>
              <w:autoSpaceDE w:val="0"/>
              <w:autoSpaceDN w:val="0"/>
              <w:jc w:val="center"/>
              <w:rPr>
                <w:rFonts w:ascii="Calibri" w:hAnsi="Calibri"/>
                <w:color w:val="000000"/>
                <w:szCs w:val="24"/>
                <w:highlight w:val="yellow"/>
              </w:rPr>
            </w:pPr>
            <w:r>
              <w:rPr>
                <w:color w:val="000000"/>
                <w:highlight w:val="yellow"/>
              </w:rPr>
              <w:t>-</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Pr="00E57A83" w:rsidRDefault="00D20E5B">
            <w:pPr>
              <w:autoSpaceDE w:val="0"/>
              <w:autoSpaceDN w:val="0"/>
              <w:jc w:val="center"/>
              <w:rPr>
                <w:rFonts w:ascii="Calibri" w:hAnsi="Calibri"/>
                <w:b/>
                <w:bCs/>
                <w:color w:val="FF0000"/>
                <w:szCs w:val="24"/>
                <w:highlight w:val="yellow"/>
              </w:rPr>
            </w:pPr>
            <w:r w:rsidRPr="00E57A83">
              <w:rPr>
                <w:b/>
                <w:bCs/>
                <w:color w:val="FF0000"/>
                <w:highlight w:val="yellow"/>
              </w:rPr>
              <w:t>0</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Pr="00E57A83" w:rsidRDefault="00D20E5B">
            <w:pPr>
              <w:autoSpaceDE w:val="0"/>
              <w:autoSpaceDN w:val="0"/>
              <w:jc w:val="center"/>
              <w:rPr>
                <w:rFonts w:ascii="Calibri" w:hAnsi="Calibri"/>
                <w:b/>
                <w:bCs/>
                <w:color w:val="000000"/>
                <w:szCs w:val="24"/>
                <w:highlight w:val="yellow"/>
              </w:rPr>
            </w:pPr>
            <w:r w:rsidRPr="00E57A83">
              <w:rPr>
                <w:b/>
                <w:bCs/>
                <w:color w:val="000000"/>
                <w:highlight w:val="yellow"/>
              </w:rPr>
              <w:t>4</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Rakovník</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5</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7</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8</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6</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Sokolov</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0</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4</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Tábor</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12</w:t>
            </w:r>
          </w:p>
        </w:tc>
        <w:tc>
          <w:tcPr>
            <w:tcW w:w="1080" w:type="dxa"/>
            <w:tcBorders>
              <w:top w:val="nil"/>
              <w:left w:val="nil"/>
              <w:bottom w:val="single" w:sz="8" w:space="0" w:color="auto"/>
              <w:right w:val="single" w:sz="12" w:space="0" w:color="auto"/>
            </w:tcBorders>
            <w:tcMar>
              <w:top w:w="0" w:type="dxa"/>
              <w:left w:w="30" w:type="dxa"/>
              <w:bottom w:w="0" w:type="dxa"/>
              <w:right w:w="30" w:type="dxa"/>
            </w:tcMar>
          </w:tcPr>
          <w:p w:rsidR="00D20E5B" w:rsidRDefault="00D20E5B">
            <w:pPr>
              <w:autoSpaceDE w:val="0"/>
              <w:autoSpaceDN w:val="0"/>
              <w:jc w:val="center"/>
              <w:rPr>
                <w:rFonts w:ascii="Calibri" w:hAnsi="Calibri"/>
                <w:b/>
                <w:bCs/>
                <w:color w:val="000000"/>
                <w:szCs w:val="24"/>
              </w:rPr>
            </w:pP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Teplice</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443</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486</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6</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12</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Trutnov</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24</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6</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14</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Ústí nad Labem</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320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448</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54</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22</w:t>
            </w:r>
          </w:p>
        </w:tc>
      </w:tr>
      <w:tr w:rsidR="00D20E5B" w:rsidTr="00D20E5B">
        <w:trPr>
          <w:trHeight w:val="360"/>
        </w:trPr>
        <w:tc>
          <w:tcPr>
            <w:tcW w:w="3374" w:type="dxa"/>
            <w:tcBorders>
              <w:top w:val="nil"/>
              <w:left w:val="single" w:sz="12" w:space="0" w:color="auto"/>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Veselí nad Moravou</w:t>
            </w:r>
          </w:p>
        </w:tc>
        <w:tc>
          <w:tcPr>
            <w:tcW w:w="1575"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8"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3</w:t>
            </w:r>
          </w:p>
        </w:tc>
        <w:tc>
          <w:tcPr>
            <w:tcW w:w="1080" w:type="dxa"/>
            <w:tcBorders>
              <w:top w:val="nil"/>
              <w:left w:val="nil"/>
              <w:bottom w:val="single" w:sz="8"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4</w:t>
            </w:r>
          </w:p>
        </w:tc>
      </w:tr>
      <w:tr w:rsidR="00D20E5B" w:rsidTr="00D20E5B">
        <w:trPr>
          <w:trHeight w:val="374"/>
        </w:trPr>
        <w:tc>
          <w:tcPr>
            <w:tcW w:w="3374" w:type="dxa"/>
            <w:tcBorders>
              <w:top w:val="nil"/>
              <w:left w:val="single" w:sz="12" w:space="0" w:color="auto"/>
              <w:bottom w:val="single" w:sz="12" w:space="0" w:color="auto"/>
              <w:right w:val="single" w:sz="8" w:space="0" w:color="auto"/>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Zlín</w:t>
            </w:r>
          </w:p>
        </w:tc>
        <w:tc>
          <w:tcPr>
            <w:tcW w:w="1575" w:type="dxa"/>
            <w:tcBorders>
              <w:top w:val="nil"/>
              <w:left w:val="nil"/>
              <w:bottom w:val="single" w:sz="12"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514" w:type="dxa"/>
            <w:tcBorders>
              <w:top w:val="nil"/>
              <w:left w:val="nil"/>
              <w:bottom w:val="single" w:sz="12"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0</w:t>
            </w:r>
          </w:p>
        </w:tc>
        <w:tc>
          <w:tcPr>
            <w:tcW w:w="1740" w:type="dxa"/>
            <w:tcBorders>
              <w:top w:val="nil"/>
              <w:left w:val="nil"/>
              <w:bottom w:val="single" w:sz="12" w:space="0" w:color="auto"/>
              <w:right w:val="single" w:sz="8"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0</w:t>
            </w:r>
          </w:p>
        </w:tc>
        <w:tc>
          <w:tcPr>
            <w:tcW w:w="1080" w:type="dxa"/>
            <w:tcBorders>
              <w:top w:val="nil"/>
              <w:left w:val="nil"/>
              <w:bottom w:val="single" w:sz="12"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4</w:t>
            </w:r>
          </w:p>
        </w:tc>
      </w:tr>
      <w:tr w:rsidR="00D20E5B" w:rsidTr="00D20E5B">
        <w:trPr>
          <w:trHeight w:val="374"/>
        </w:trPr>
        <w:tc>
          <w:tcPr>
            <w:tcW w:w="3374" w:type="dxa"/>
            <w:tcBorders>
              <w:top w:val="nil"/>
              <w:left w:val="single" w:sz="12" w:space="0" w:color="auto"/>
              <w:bottom w:val="single" w:sz="12" w:space="0" w:color="auto"/>
              <w:right w:val="nil"/>
            </w:tcBorders>
            <w:tcMar>
              <w:top w:w="0" w:type="dxa"/>
              <w:left w:w="30" w:type="dxa"/>
              <w:bottom w:w="0" w:type="dxa"/>
              <w:right w:w="30" w:type="dxa"/>
            </w:tcMar>
            <w:hideMark/>
          </w:tcPr>
          <w:p w:rsidR="00D20E5B" w:rsidRDefault="00D20E5B">
            <w:pPr>
              <w:autoSpaceDE w:val="0"/>
              <w:autoSpaceDN w:val="0"/>
              <w:rPr>
                <w:rFonts w:ascii="Calibri" w:hAnsi="Calibri"/>
                <w:color w:val="000000"/>
                <w:sz w:val="28"/>
                <w:szCs w:val="28"/>
              </w:rPr>
            </w:pPr>
            <w:r>
              <w:rPr>
                <w:color w:val="000000"/>
                <w:sz w:val="28"/>
                <w:szCs w:val="28"/>
              </w:rPr>
              <w:t>CELKEM</w:t>
            </w:r>
          </w:p>
        </w:tc>
        <w:tc>
          <w:tcPr>
            <w:tcW w:w="1575" w:type="dxa"/>
            <w:tcBorders>
              <w:top w:val="nil"/>
              <w:left w:val="nil"/>
              <w:bottom w:val="single" w:sz="12" w:space="0" w:color="auto"/>
              <w:right w:val="nil"/>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22899</w:t>
            </w:r>
          </w:p>
        </w:tc>
        <w:tc>
          <w:tcPr>
            <w:tcW w:w="1514" w:type="dxa"/>
            <w:tcBorders>
              <w:top w:val="nil"/>
              <w:left w:val="nil"/>
              <w:bottom w:val="single" w:sz="12" w:space="0" w:color="auto"/>
              <w:right w:val="nil"/>
            </w:tcBorders>
            <w:tcMar>
              <w:top w:w="0" w:type="dxa"/>
              <w:left w:w="30" w:type="dxa"/>
              <w:bottom w:w="0" w:type="dxa"/>
              <w:right w:w="30" w:type="dxa"/>
            </w:tcMar>
            <w:hideMark/>
          </w:tcPr>
          <w:p w:rsidR="00D20E5B" w:rsidRDefault="00D20E5B">
            <w:pPr>
              <w:autoSpaceDE w:val="0"/>
              <w:autoSpaceDN w:val="0"/>
              <w:jc w:val="center"/>
              <w:rPr>
                <w:rFonts w:ascii="Calibri" w:hAnsi="Calibri"/>
                <w:color w:val="000000"/>
                <w:szCs w:val="24"/>
              </w:rPr>
            </w:pPr>
            <w:r>
              <w:rPr>
                <w:color w:val="000000"/>
              </w:rPr>
              <w:t>18977</w:t>
            </w:r>
          </w:p>
        </w:tc>
        <w:tc>
          <w:tcPr>
            <w:tcW w:w="1740" w:type="dxa"/>
            <w:tcBorders>
              <w:top w:val="nil"/>
              <w:left w:val="nil"/>
              <w:bottom w:val="single" w:sz="12" w:space="0" w:color="auto"/>
              <w:right w:val="nil"/>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FF0000"/>
                <w:szCs w:val="24"/>
              </w:rPr>
            </w:pPr>
            <w:r>
              <w:rPr>
                <w:b/>
                <w:bCs/>
                <w:color w:val="FF0000"/>
              </w:rPr>
              <w:t>615</w:t>
            </w:r>
          </w:p>
        </w:tc>
        <w:tc>
          <w:tcPr>
            <w:tcW w:w="1080" w:type="dxa"/>
            <w:tcBorders>
              <w:top w:val="nil"/>
              <w:left w:val="nil"/>
              <w:bottom w:val="single" w:sz="12" w:space="0" w:color="auto"/>
              <w:right w:val="single" w:sz="12" w:space="0" w:color="auto"/>
            </w:tcBorders>
            <w:tcMar>
              <w:top w:w="0" w:type="dxa"/>
              <w:left w:w="30" w:type="dxa"/>
              <w:bottom w:w="0" w:type="dxa"/>
              <w:right w:w="30" w:type="dxa"/>
            </w:tcMar>
            <w:hideMark/>
          </w:tcPr>
          <w:p w:rsidR="00D20E5B" w:rsidRDefault="00D20E5B">
            <w:pPr>
              <w:autoSpaceDE w:val="0"/>
              <w:autoSpaceDN w:val="0"/>
              <w:jc w:val="center"/>
              <w:rPr>
                <w:rFonts w:ascii="Calibri" w:hAnsi="Calibri"/>
                <w:b/>
                <w:bCs/>
                <w:color w:val="000000"/>
                <w:szCs w:val="24"/>
              </w:rPr>
            </w:pPr>
            <w:r>
              <w:rPr>
                <w:b/>
                <w:bCs/>
                <w:color w:val="000000"/>
              </w:rPr>
              <w:t>421</w:t>
            </w:r>
          </w:p>
        </w:tc>
      </w:tr>
    </w:tbl>
    <w:p w:rsidR="00D20E5B" w:rsidRDefault="00D20E5B" w:rsidP="00D20E5B">
      <w:pPr>
        <w:jc w:val="both"/>
        <w:rPr>
          <w:rFonts w:ascii="Calibri" w:hAnsi="Calibri"/>
          <w:b/>
          <w:bCs/>
          <w:sz w:val="22"/>
        </w:rPr>
      </w:pPr>
    </w:p>
    <w:p w:rsidR="00D20E5B" w:rsidRDefault="00D20E5B" w:rsidP="00D20E5B">
      <w:pPr>
        <w:jc w:val="both"/>
      </w:pPr>
    </w:p>
    <w:p w:rsidR="00D20E5B" w:rsidRDefault="00D20E5B" w:rsidP="00D20E5B">
      <w:pPr>
        <w:pStyle w:val="Normlnweb"/>
      </w:pPr>
      <w:r>
        <w:rPr>
          <w:rStyle w:val="Siln"/>
        </w:rPr>
        <w:t>Strážníci znovu apelují na veřejnost:</w:t>
      </w:r>
    </w:p>
    <w:p w:rsidR="00D20E5B" w:rsidRDefault="00D20E5B" w:rsidP="00D20E5B">
      <w:pPr>
        <w:pStyle w:val="Normlnweb"/>
      </w:pPr>
      <w:r>
        <w:rPr>
          <w:rStyle w:val="Zvraznn"/>
        </w:rPr>
        <w:t>„V případě, že občané někde naleznou nebo zahlédnou tento infekční materiál, žádáme je, aby ho sami z důvodu vlastní bezpečnosti nesbírali, ale neprodleně zavolali na linku tísňového volání „156“ a strážníci městské policie zajistí odborný sběr i jeho následnou likvidaci.“</w:t>
      </w:r>
    </w:p>
    <w:p w:rsidR="00E57A83" w:rsidRDefault="00E57A83" w:rsidP="00E57A83">
      <w:pPr>
        <w:jc w:val="both"/>
        <w:rPr>
          <w:color w:val="000000"/>
        </w:rPr>
      </w:pPr>
      <w:r>
        <w:rPr>
          <w:color w:val="000000"/>
        </w:rPr>
        <w:t xml:space="preserve">Městská policie Přelouč se do akce Jehla 2017 zapojila letos poprvé. Společně s členy spolku HHP Hledači historie </w:t>
      </w:r>
      <w:proofErr w:type="gramStart"/>
      <w:r>
        <w:rPr>
          <w:color w:val="000000"/>
        </w:rPr>
        <w:t>Pardubicko z. s.</w:t>
      </w:r>
      <w:proofErr w:type="gramEnd"/>
      <w:r>
        <w:rPr>
          <w:color w:val="000000"/>
        </w:rPr>
        <w:t xml:space="preserve">  Za tuto spolupráci jim děkujeme.  Prohledali jsme dětská hřiště a pískoviště na území města Přelouče a obcí Lhota, Lohenice, Mělice, Štěpánov a Tupesy. Žádný infekční materiál nebyl nalezen. Výsledek našeho snažení vidíte na obrázku. </w:t>
      </w:r>
    </w:p>
    <w:p w:rsidR="00E57A83" w:rsidRDefault="00E57A83" w:rsidP="00E57A83">
      <w:pPr>
        <w:keepNext/>
        <w:jc w:val="both"/>
      </w:pPr>
      <w:r>
        <w:rPr>
          <w:noProof/>
          <w:lang w:eastAsia="cs-CZ"/>
        </w:rPr>
        <w:drawing>
          <wp:inline distT="0" distB="0" distL="0" distR="0" wp14:anchorId="0072EA14" wp14:editId="538A9EC9">
            <wp:extent cx="1885950" cy="12573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180007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6886" cy="1257924"/>
                    </a:xfrm>
                    <a:prstGeom prst="rect">
                      <a:avLst/>
                    </a:prstGeom>
                  </pic:spPr>
                </pic:pic>
              </a:graphicData>
            </a:graphic>
          </wp:inline>
        </w:drawing>
      </w:r>
    </w:p>
    <w:p w:rsidR="00E57A83" w:rsidRDefault="00E57A83" w:rsidP="00E57A83">
      <w:pPr>
        <w:pStyle w:val="Titulek"/>
        <w:jc w:val="both"/>
      </w:pPr>
      <w:r>
        <w:t xml:space="preserve">kontrola pískoviště na sídlišti Jižní </w:t>
      </w:r>
    </w:p>
    <w:p w:rsidR="00E57A83" w:rsidRDefault="00E57A83" w:rsidP="00E57A83">
      <w:pPr>
        <w:keepNext/>
        <w:jc w:val="both"/>
      </w:pPr>
      <w:r>
        <w:rPr>
          <w:noProof/>
          <w:color w:val="000000"/>
          <w:lang w:eastAsia="cs-CZ"/>
        </w:rPr>
        <w:drawing>
          <wp:inline distT="0" distB="0" distL="0" distR="0" wp14:anchorId="07FA7498" wp14:editId="2E57958E">
            <wp:extent cx="1885950" cy="13624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180004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743" cy="1369535"/>
                    </a:xfrm>
                    <a:prstGeom prst="rect">
                      <a:avLst/>
                    </a:prstGeom>
                  </pic:spPr>
                </pic:pic>
              </a:graphicData>
            </a:graphic>
          </wp:inline>
        </w:drawing>
      </w:r>
      <w:r>
        <w:rPr>
          <w:noProof/>
          <w:color w:val="000000"/>
          <w:lang w:eastAsia="cs-CZ"/>
        </w:rPr>
        <w:t xml:space="preserve">                                      </w:t>
      </w:r>
    </w:p>
    <w:p w:rsidR="00E57A83" w:rsidRDefault="00E57A83" w:rsidP="00E57A83">
      <w:pPr>
        <w:pStyle w:val="Titulek"/>
        <w:jc w:val="both"/>
      </w:pPr>
      <w:r>
        <w:t xml:space="preserve">výsledek hledání </w:t>
      </w:r>
      <w:bookmarkStart w:id="0" w:name="_GoBack"/>
      <w:bookmarkEnd w:id="0"/>
    </w:p>
    <w:p w:rsidR="00AD284C" w:rsidRDefault="00AD284C" w:rsidP="00F51C0B">
      <w:pPr>
        <w:jc w:val="both"/>
      </w:pPr>
    </w:p>
    <w:sectPr w:rsidR="00AD2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D"/>
    <w:rsid w:val="002259ED"/>
    <w:rsid w:val="004C33B0"/>
    <w:rsid w:val="00510F8E"/>
    <w:rsid w:val="00A257F0"/>
    <w:rsid w:val="00AD284C"/>
    <w:rsid w:val="00D20E5B"/>
    <w:rsid w:val="00E47577"/>
    <w:rsid w:val="00E57A83"/>
    <w:rsid w:val="00F51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59ED"/>
    <w:pPr>
      <w:spacing w:before="100" w:beforeAutospacing="1" w:after="100" w:afterAutospacing="1"/>
    </w:pPr>
    <w:rPr>
      <w:rFonts w:eastAsia="Times New Roman" w:cs="Times New Roman"/>
      <w:szCs w:val="24"/>
      <w:lang w:eastAsia="cs-CZ"/>
    </w:rPr>
  </w:style>
  <w:style w:type="character" w:styleId="Zvraznn">
    <w:name w:val="Emphasis"/>
    <w:basedOn w:val="Standardnpsmoodstavce"/>
    <w:uiPriority w:val="20"/>
    <w:qFormat/>
    <w:rsid w:val="002259ED"/>
    <w:rPr>
      <w:i/>
      <w:iCs/>
    </w:rPr>
  </w:style>
  <w:style w:type="character" w:styleId="Siln">
    <w:name w:val="Strong"/>
    <w:basedOn w:val="Standardnpsmoodstavce"/>
    <w:uiPriority w:val="22"/>
    <w:qFormat/>
    <w:rsid w:val="002259ED"/>
    <w:rPr>
      <w:b/>
      <w:bCs/>
    </w:rPr>
  </w:style>
  <w:style w:type="paragraph" w:styleId="Titulek">
    <w:name w:val="caption"/>
    <w:basedOn w:val="Normln"/>
    <w:next w:val="Normln"/>
    <w:uiPriority w:val="35"/>
    <w:unhideWhenUsed/>
    <w:qFormat/>
    <w:rsid w:val="00E57A83"/>
    <w:pPr>
      <w:spacing w:after="200"/>
    </w:pPr>
    <w:rPr>
      <w:rFonts w:asciiTheme="minorHAnsi" w:hAnsiTheme="minorHAnsi"/>
      <w:b/>
      <w:bCs/>
      <w:color w:val="4F81BD" w:themeColor="accent1"/>
      <w:sz w:val="18"/>
      <w:szCs w:val="18"/>
    </w:rPr>
  </w:style>
  <w:style w:type="paragraph" w:styleId="Textbubliny">
    <w:name w:val="Balloon Text"/>
    <w:basedOn w:val="Normln"/>
    <w:link w:val="TextbublinyChar"/>
    <w:uiPriority w:val="99"/>
    <w:semiHidden/>
    <w:unhideWhenUsed/>
    <w:rsid w:val="00E57A83"/>
    <w:rPr>
      <w:rFonts w:ascii="Tahoma" w:hAnsi="Tahoma" w:cs="Tahoma"/>
      <w:sz w:val="16"/>
      <w:szCs w:val="16"/>
    </w:rPr>
  </w:style>
  <w:style w:type="character" w:customStyle="1" w:styleId="TextbublinyChar">
    <w:name w:val="Text bubliny Char"/>
    <w:basedOn w:val="Standardnpsmoodstavce"/>
    <w:link w:val="Textbubliny"/>
    <w:uiPriority w:val="99"/>
    <w:semiHidden/>
    <w:rsid w:val="00E5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59ED"/>
    <w:pPr>
      <w:spacing w:before="100" w:beforeAutospacing="1" w:after="100" w:afterAutospacing="1"/>
    </w:pPr>
    <w:rPr>
      <w:rFonts w:eastAsia="Times New Roman" w:cs="Times New Roman"/>
      <w:szCs w:val="24"/>
      <w:lang w:eastAsia="cs-CZ"/>
    </w:rPr>
  </w:style>
  <w:style w:type="character" w:styleId="Zvraznn">
    <w:name w:val="Emphasis"/>
    <w:basedOn w:val="Standardnpsmoodstavce"/>
    <w:uiPriority w:val="20"/>
    <w:qFormat/>
    <w:rsid w:val="002259ED"/>
    <w:rPr>
      <w:i/>
      <w:iCs/>
    </w:rPr>
  </w:style>
  <w:style w:type="character" w:styleId="Siln">
    <w:name w:val="Strong"/>
    <w:basedOn w:val="Standardnpsmoodstavce"/>
    <w:uiPriority w:val="22"/>
    <w:qFormat/>
    <w:rsid w:val="002259ED"/>
    <w:rPr>
      <w:b/>
      <w:bCs/>
    </w:rPr>
  </w:style>
  <w:style w:type="paragraph" w:styleId="Titulek">
    <w:name w:val="caption"/>
    <w:basedOn w:val="Normln"/>
    <w:next w:val="Normln"/>
    <w:uiPriority w:val="35"/>
    <w:unhideWhenUsed/>
    <w:qFormat/>
    <w:rsid w:val="00E57A83"/>
    <w:pPr>
      <w:spacing w:after="200"/>
    </w:pPr>
    <w:rPr>
      <w:rFonts w:asciiTheme="minorHAnsi" w:hAnsiTheme="minorHAnsi"/>
      <w:b/>
      <w:bCs/>
      <w:color w:val="4F81BD" w:themeColor="accent1"/>
      <w:sz w:val="18"/>
      <w:szCs w:val="18"/>
    </w:rPr>
  </w:style>
  <w:style w:type="paragraph" w:styleId="Textbubliny">
    <w:name w:val="Balloon Text"/>
    <w:basedOn w:val="Normln"/>
    <w:link w:val="TextbublinyChar"/>
    <w:uiPriority w:val="99"/>
    <w:semiHidden/>
    <w:unhideWhenUsed/>
    <w:rsid w:val="00E57A83"/>
    <w:rPr>
      <w:rFonts w:ascii="Tahoma" w:hAnsi="Tahoma" w:cs="Tahoma"/>
      <w:sz w:val="16"/>
      <w:szCs w:val="16"/>
    </w:rPr>
  </w:style>
  <w:style w:type="character" w:customStyle="1" w:styleId="TextbublinyChar">
    <w:name w:val="Text bubliny Char"/>
    <w:basedOn w:val="Standardnpsmoodstavce"/>
    <w:link w:val="Textbubliny"/>
    <w:uiPriority w:val="99"/>
    <w:semiHidden/>
    <w:rsid w:val="00E57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51046">
      <w:bodyDiv w:val="1"/>
      <w:marLeft w:val="0"/>
      <w:marRight w:val="0"/>
      <w:marTop w:val="0"/>
      <w:marBottom w:val="0"/>
      <w:divBdr>
        <w:top w:val="none" w:sz="0" w:space="0" w:color="auto"/>
        <w:left w:val="none" w:sz="0" w:space="0" w:color="auto"/>
        <w:bottom w:val="none" w:sz="0" w:space="0" w:color="auto"/>
        <w:right w:val="none" w:sz="0" w:space="0" w:color="auto"/>
      </w:divBdr>
    </w:div>
    <w:div w:id="993290336">
      <w:bodyDiv w:val="1"/>
      <w:marLeft w:val="0"/>
      <w:marRight w:val="0"/>
      <w:marTop w:val="0"/>
      <w:marBottom w:val="0"/>
      <w:divBdr>
        <w:top w:val="none" w:sz="0" w:space="0" w:color="auto"/>
        <w:left w:val="none" w:sz="0" w:space="0" w:color="auto"/>
        <w:bottom w:val="none" w:sz="0" w:space="0" w:color="auto"/>
        <w:right w:val="none" w:sz="0" w:space="0" w:color="auto"/>
      </w:divBdr>
    </w:div>
    <w:div w:id="20641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2124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MPPraha</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Seifertová Irena - KŘMP vedoucí</dc:creator>
  <cp:lastModifiedBy>Leoš Slavík</cp:lastModifiedBy>
  <cp:revision>2</cp:revision>
  <cp:lastPrinted>2017-04-18T11:08:00Z</cp:lastPrinted>
  <dcterms:created xsi:type="dcterms:W3CDTF">2017-04-21T06:28:00Z</dcterms:created>
  <dcterms:modified xsi:type="dcterms:W3CDTF">2017-04-21T06:28:00Z</dcterms:modified>
</cp:coreProperties>
</file>